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54E7" w:rsidRDefault="003D54E7" w:rsidP="003D54E7">
      <w:pPr>
        <w:rPr>
          <w:i/>
          <w:iCs/>
          <w:sz w:val="32"/>
          <w:szCs w:val="32"/>
          <w:lang w:val="it-IT"/>
        </w:rPr>
      </w:pPr>
      <w:r w:rsidRPr="003D54E7">
        <w:rPr>
          <w:i/>
          <w:iCs/>
          <w:sz w:val="32"/>
          <w:szCs w:val="32"/>
          <w:lang w:val="it-IT"/>
        </w:rPr>
        <w:t>AN 7.49 (6) Perceptions (2)</w:t>
      </w:r>
      <w:r w:rsidR="00BE7C99">
        <w:rPr>
          <w:i/>
          <w:iCs/>
          <w:sz w:val="32"/>
          <w:szCs w:val="32"/>
          <w:lang w:val="it-IT"/>
        </w:rPr>
        <w:t xml:space="preserve">  trad. Bhikkhu Bodhi</w:t>
      </w:r>
    </w:p>
    <w:p w:rsidR="00F950A8" w:rsidRDefault="00F950A8" w:rsidP="003D54E7">
      <w:pPr>
        <w:rPr>
          <w:i/>
          <w:iCs/>
          <w:sz w:val="32"/>
          <w:szCs w:val="32"/>
          <w:lang w:val="it-IT"/>
        </w:rPr>
      </w:pPr>
      <w:r>
        <w:rPr>
          <w:i/>
          <w:iCs/>
          <w:sz w:val="32"/>
          <w:szCs w:val="32"/>
          <w:lang w:val="it-IT"/>
        </w:rPr>
        <w:t>ESTRATTO in ITALIANO (ELENCO e PERCEZIONE IMPERMANENZA)</w:t>
      </w:r>
    </w:p>
    <w:p w:rsidR="00BE7C99" w:rsidRPr="003D54E7" w:rsidRDefault="00BE7C99" w:rsidP="003D54E7">
      <w:pPr>
        <w:rPr>
          <w:i/>
          <w:iCs/>
          <w:sz w:val="32"/>
          <w:szCs w:val="32"/>
          <w:lang w:val="it-IT"/>
        </w:rPr>
      </w:pPr>
    </w:p>
    <w:p w:rsidR="003D54E7" w:rsidRDefault="003D54E7" w:rsidP="003D54E7">
      <w:pPr>
        <w:rPr>
          <w:sz w:val="32"/>
          <w:szCs w:val="32"/>
          <w:lang w:val="it-IT"/>
        </w:rPr>
      </w:pPr>
      <w:r w:rsidRPr="003D54E7">
        <w:rPr>
          <w:sz w:val="32"/>
          <w:szCs w:val="32"/>
          <w:lang w:val="it-IT"/>
        </w:rPr>
        <w:t xml:space="preserve">“Bhikkhu, </w:t>
      </w:r>
      <w:r w:rsidR="00BE7C99">
        <w:rPr>
          <w:sz w:val="32"/>
          <w:szCs w:val="32"/>
          <w:lang w:val="it-IT"/>
        </w:rPr>
        <w:t xml:space="preserve">queste sette percezioni, sviluppate e coltivate, sono di gran frutto e di gran beneficio, culminano nel senza-morte, hanno il senza-morte come punto di arrivo. E quali sette? </w:t>
      </w:r>
    </w:p>
    <w:p w:rsidR="00BE7C99" w:rsidRPr="003D54E7" w:rsidRDefault="00BE7C99" w:rsidP="003D54E7">
      <w:pPr>
        <w:rPr>
          <w:sz w:val="32"/>
          <w:szCs w:val="32"/>
          <w:lang w:val="it-IT"/>
        </w:rPr>
      </w:pPr>
    </w:p>
    <w:p w:rsidR="003D54E7" w:rsidRDefault="00BE7C99" w:rsidP="00BE7C99">
      <w:pPr>
        <w:rPr>
          <w:sz w:val="32"/>
          <w:szCs w:val="32"/>
          <w:lang w:val="it-IT"/>
        </w:rPr>
      </w:pPr>
      <w:r>
        <w:rPr>
          <w:sz w:val="32"/>
          <w:szCs w:val="32"/>
          <w:lang w:val="it-IT"/>
        </w:rPr>
        <w:t xml:space="preserve">La percezione del non-bello, la percezione della morte, la percezione del carattere sgradevole del cibo, la percezione del non trovare diletto nel mondo, la percezione dell’impermanenza, la percezione di dukkha in ciò che è impermanente, la percezione del non - sé in ciò che è dukkha.”  </w:t>
      </w:r>
    </w:p>
    <w:p w:rsidR="00BE7C99" w:rsidRDefault="00BE7C99" w:rsidP="003D54E7">
      <w:pPr>
        <w:rPr>
          <w:sz w:val="32"/>
          <w:szCs w:val="32"/>
          <w:lang w:val="it-IT"/>
        </w:rPr>
      </w:pPr>
      <w:r>
        <w:rPr>
          <w:sz w:val="32"/>
          <w:szCs w:val="32"/>
          <w:lang w:val="it-IT"/>
        </w:rPr>
        <w:t>[…]</w:t>
      </w:r>
    </w:p>
    <w:p w:rsidR="00BE7C99" w:rsidRDefault="00BE7C99" w:rsidP="003D54E7">
      <w:pPr>
        <w:rPr>
          <w:sz w:val="32"/>
          <w:szCs w:val="32"/>
          <w:lang w:val="it-IT"/>
        </w:rPr>
      </w:pPr>
    </w:p>
    <w:p w:rsidR="003D54E7" w:rsidRPr="003D54E7" w:rsidRDefault="003D54E7" w:rsidP="00BE7C99">
      <w:pPr>
        <w:rPr>
          <w:sz w:val="32"/>
          <w:szCs w:val="32"/>
          <w:lang w:val="it-IT"/>
        </w:rPr>
      </w:pPr>
      <w:r w:rsidRPr="003D54E7">
        <w:rPr>
          <w:sz w:val="32"/>
          <w:szCs w:val="32"/>
          <w:lang w:val="it-IT"/>
        </w:rPr>
        <w:t>“</w:t>
      </w:r>
      <w:r w:rsidR="00BE7C99">
        <w:rPr>
          <w:sz w:val="32"/>
          <w:szCs w:val="32"/>
          <w:lang w:val="it-IT"/>
        </w:rPr>
        <w:t xml:space="preserve">E’ stato detto: La percezione dell’impermanenza, sviluppata e coltivata, è di gran frutto e di gran beneficio, culmina nel senza-morte, ha il senza morte come punto di arrivo. Per quale motivo è stato detto? </w:t>
      </w:r>
    </w:p>
    <w:p w:rsidR="00BE7C99" w:rsidRPr="003D54E7" w:rsidRDefault="003D54E7" w:rsidP="00BE7C99">
      <w:pPr>
        <w:rPr>
          <w:sz w:val="32"/>
          <w:szCs w:val="32"/>
          <w:lang w:val="it-IT"/>
        </w:rPr>
      </w:pPr>
      <w:r w:rsidRPr="003D54E7">
        <w:rPr>
          <w:sz w:val="32"/>
          <w:szCs w:val="32"/>
          <w:lang w:val="it-IT"/>
        </w:rPr>
        <w:t>“</w:t>
      </w:r>
      <w:r w:rsidR="00BE7C99">
        <w:rPr>
          <w:sz w:val="32"/>
          <w:szCs w:val="32"/>
          <w:lang w:val="it-IT"/>
        </w:rPr>
        <w:t xml:space="preserve">Quando un </w:t>
      </w:r>
      <w:r w:rsidRPr="003D54E7">
        <w:rPr>
          <w:sz w:val="32"/>
          <w:szCs w:val="32"/>
          <w:lang w:val="it-IT"/>
        </w:rPr>
        <w:t xml:space="preserve">bhikkhu </w:t>
      </w:r>
      <w:r w:rsidR="00BE7C99">
        <w:rPr>
          <w:sz w:val="32"/>
          <w:szCs w:val="32"/>
          <w:lang w:val="it-IT"/>
        </w:rPr>
        <w:t>dimora spesso con una mente abituata alla percezione dell’impermanenza, la sua mente si distoglie da profitto, onore e lode, li abbandona, se ne allontana e non se ne sente attratta. […]</w:t>
      </w:r>
    </w:p>
    <w:p w:rsidR="003D54E7" w:rsidRPr="003D54E7" w:rsidRDefault="003D54E7" w:rsidP="003D54E7">
      <w:pPr>
        <w:rPr>
          <w:sz w:val="32"/>
          <w:szCs w:val="32"/>
          <w:lang w:val="it-IT"/>
        </w:rPr>
      </w:pPr>
    </w:p>
    <w:p w:rsidR="003557A9" w:rsidRDefault="003D54E7" w:rsidP="00F950A8">
      <w:pPr>
        <w:rPr>
          <w:sz w:val="32"/>
          <w:szCs w:val="32"/>
          <w:lang w:val="it-IT"/>
        </w:rPr>
      </w:pPr>
      <w:r w:rsidRPr="003D54E7">
        <w:rPr>
          <w:sz w:val="32"/>
          <w:szCs w:val="32"/>
          <w:lang w:val="it-IT"/>
        </w:rPr>
        <w:t>“</w:t>
      </w:r>
      <w:r w:rsidR="00BE7C99">
        <w:rPr>
          <w:sz w:val="32"/>
          <w:szCs w:val="32"/>
          <w:lang w:val="it-IT"/>
        </w:rPr>
        <w:t xml:space="preserve">Se un </w:t>
      </w:r>
      <w:r w:rsidRPr="003D54E7">
        <w:rPr>
          <w:sz w:val="32"/>
          <w:szCs w:val="32"/>
          <w:lang w:val="it-IT"/>
        </w:rPr>
        <w:t xml:space="preserve">bhikkhu </w:t>
      </w:r>
      <w:r w:rsidR="00BE7C99">
        <w:rPr>
          <w:sz w:val="32"/>
          <w:szCs w:val="32"/>
          <w:lang w:val="it-IT"/>
        </w:rPr>
        <w:t xml:space="preserve">che dimora spesso con una mente abituata alla percezione dell’impermanenza </w:t>
      </w:r>
      <w:r w:rsidR="00F950A8">
        <w:rPr>
          <w:sz w:val="32"/>
          <w:szCs w:val="32"/>
          <w:lang w:val="it-IT"/>
        </w:rPr>
        <w:t xml:space="preserve">nota che </w:t>
      </w:r>
      <w:r w:rsidR="00BE7C99">
        <w:rPr>
          <w:sz w:val="32"/>
          <w:szCs w:val="32"/>
          <w:lang w:val="it-IT"/>
        </w:rPr>
        <w:t xml:space="preserve">la sua mente </w:t>
      </w:r>
      <w:r w:rsidR="00F950A8">
        <w:rPr>
          <w:sz w:val="32"/>
          <w:szCs w:val="32"/>
          <w:lang w:val="it-IT"/>
        </w:rPr>
        <w:t>ricerca è attratta d</w:t>
      </w:r>
      <w:r w:rsidR="00BE7C99">
        <w:rPr>
          <w:sz w:val="32"/>
          <w:szCs w:val="32"/>
          <w:lang w:val="it-IT"/>
        </w:rPr>
        <w:t xml:space="preserve">al profitto, </w:t>
      </w:r>
      <w:r w:rsidR="00F950A8">
        <w:rPr>
          <w:sz w:val="32"/>
          <w:szCs w:val="32"/>
          <w:lang w:val="it-IT"/>
        </w:rPr>
        <w:t>d</w:t>
      </w:r>
      <w:r w:rsidR="00BE7C99">
        <w:rPr>
          <w:sz w:val="32"/>
          <w:szCs w:val="32"/>
          <w:lang w:val="it-IT"/>
        </w:rPr>
        <w:t>a</w:t>
      </w:r>
      <w:r w:rsidR="00F950A8">
        <w:rPr>
          <w:sz w:val="32"/>
          <w:szCs w:val="32"/>
          <w:lang w:val="it-IT"/>
        </w:rPr>
        <w:t>ll’</w:t>
      </w:r>
      <w:r w:rsidR="00BE7C99">
        <w:rPr>
          <w:sz w:val="32"/>
          <w:szCs w:val="32"/>
          <w:lang w:val="it-IT"/>
        </w:rPr>
        <w:t xml:space="preserve">onore e </w:t>
      </w:r>
      <w:r w:rsidR="00F950A8">
        <w:rPr>
          <w:sz w:val="32"/>
          <w:szCs w:val="32"/>
          <w:lang w:val="it-IT"/>
        </w:rPr>
        <w:t>d</w:t>
      </w:r>
      <w:r w:rsidR="00BE7C99">
        <w:rPr>
          <w:sz w:val="32"/>
          <w:szCs w:val="32"/>
          <w:lang w:val="it-IT"/>
        </w:rPr>
        <w:t>alla lode e non se ne</w:t>
      </w:r>
      <w:r w:rsidR="00F950A8">
        <w:rPr>
          <w:sz w:val="32"/>
          <w:szCs w:val="32"/>
          <w:lang w:val="it-IT"/>
        </w:rPr>
        <w:t xml:space="preserve"> distoglie, dovrebbe intendere così</w:t>
      </w:r>
      <w:r w:rsidR="00BE7C99">
        <w:rPr>
          <w:sz w:val="32"/>
          <w:szCs w:val="32"/>
          <w:lang w:val="it-IT"/>
        </w:rPr>
        <w:t xml:space="preserve">: </w:t>
      </w:r>
      <w:r w:rsidR="00F950A8">
        <w:rPr>
          <w:sz w:val="32"/>
          <w:szCs w:val="32"/>
          <w:lang w:val="it-IT"/>
        </w:rPr>
        <w:t xml:space="preserve">‘Non ho sviluppato la percezione dell’impermanenza; non c’è differenza fra la mia condizione precedente e quella presente; non ho ottenuto il frutto della coltivazione’. Così chiaramente comprende. Ma se, quando </w:t>
      </w:r>
      <w:r w:rsidR="00F950A8" w:rsidRPr="00F950A8">
        <w:rPr>
          <w:sz w:val="32"/>
          <w:szCs w:val="32"/>
          <w:lang w:val="it-IT"/>
        </w:rPr>
        <w:t>dimora spesso con una mente abituata alla percezione dell’impermanenza, la sua mente si distoglie da profit</w:t>
      </w:r>
      <w:r w:rsidR="00F950A8">
        <w:rPr>
          <w:sz w:val="32"/>
          <w:szCs w:val="32"/>
          <w:lang w:val="it-IT"/>
        </w:rPr>
        <w:t xml:space="preserve">to, onore e lode […] e la risposta consolidata diventa o l’equanimità o il disincanto (nibbida), dovrebbe intendere così: “Ho sviluppato la percezione dell’impermanenza … ho ottenuto il frutto della coltivazione”. </w:t>
      </w:r>
    </w:p>
    <w:p w:rsidR="003557A9" w:rsidRDefault="003557A9">
      <w:pPr>
        <w:rPr>
          <w:sz w:val="32"/>
          <w:szCs w:val="32"/>
          <w:lang w:val="it-IT"/>
        </w:rPr>
      </w:pPr>
      <w:r>
        <w:rPr>
          <w:sz w:val="32"/>
          <w:szCs w:val="32"/>
          <w:lang w:val="it-IT"/>
        </w:rPr>
        <w:br w:type="page"/>
      </w:r>
    </w:p>
    <w:p w:rsidR="003557A9" w:rsidRDefault="003557A9" w:rsidP="003557A9">
      <w:pPr>
        <w:rPr>
          <w:sz w:val="32"/>
          <w:szCs w:val="32"/>
          <w:lang w:val="it-IT"/>
        </w:rPr>
      </w:pPr>
      <w:r>
        <w:rPr>
          <w:sz w:val="32"/>
          <w:szCs w:val="32"/>
          <w:lang w:val="it-IT"/>
        </w:rPr>
        <w:lastRenderedPageBreak/>
        <w:t xml:space="preserve">LE 10 PERCEZIONI DEL </w:t>
      </w:r>
      <w:r w:rsidR="00AF1900" w:rsidRPr="00AF1900">
        <w:rPr>
          <w:sz w:val="32"/>
          <w:szCs w:val="32"/>
        </w:rPr>
        <w:t>GIRIMĀNANDA SUTTA</w:t>
      </w:r>
    </w:p>
    <w:p w:rsidR="003557A9" w:rsidRDefault="003557A9" w:rsidP="003557A9">
      <w:pPr>
        <w:rPr>
          <w:sz w:val="32"/>
          <w:szCs w:val="32"/>
          <w:lang w:val="it-IT"/>
        </w:rPr>
      </w:pPr>
    </w:p>
    <w:p w:rsidR="003557A9" w:rsidRDefault="003557A9" w:rsidP="003557A9">
      <w:pPr>
        <w:rPr>
          <w:sz w:val="32"/>
          <w:szCs w:val="32"/>
          <w:lang w:val="it-IT"/>
        </w:rPr>
      </w:pPr>
      <w:r>
        <w:rPr>
          <w:sz w:val="32"/>
          <w:szCs w:val="32"/>
          <w:lang w:val="it-IT"/>
        </w:rPr>
        <w:t xml:space="preserve">1) La percezione dell’impermanenza  nei cinque aggregati/gruppi di appropriazione </w:t>
      </w:r>
    </w:p>
    <w:p w:rsidR="003557A9" w:rsidRDefault="003557A9" w:rsidP="003557A9">
      <w:pPr>
        <w:rPr>
          <w:sz w:val="32"/>
          <w:szCs w:val="32"/>
          <w:lang w:val="it-IT"/>
        </w:rPr>
      </w:pPr>
      <w:r w:rsidRPr="003557A9">
        <w:rPr>
          <w:sz w:val="32"/>
          <w:szCs w:val="32"/>
          <w:lang w:val="it-IT"/>
        </w:rPr>
        <w:t xml:space="preserve"> </w:t>
      </w:r>
      <w:r>
        <w:rPr>
          <w:sz w:val="32"/>
          <w:szCs w:val="32"/>
          <w:lang w:val="it-IT"/>
        </w:rPr>
        <w:t xml:space="preserve">2) La percezione del non - sé nelle sei basi sensoriali e rispettivi oggetti </w:t>
      </w:r>
    </w:p>
    <w:p w:rsidR="003557A9" w:rsidRDefault="003557A9" w:rsidP="003557A9">
      <w:pPr>
        <w:rPr>
          <w:sz w:val="32"/>
          <w:szCs w:val="32"/>
          <w:lang w:val="it-IT"/>
        </w:rPr>
      </w:pPr>
      <w:r>
        <w:rPr>
          <w:sz w:val="32"/>
          <w:szCs w:val="32"/>
          <w:lang w:val="it-IT"/>
        </w:rPr>
        <w:t>3) La percezione della non-bellezza nella costituzione anatomica del corpo</w:t>
      </w:r>
    </w:p>
    <w:p w:rsidR="003557A9" w:rsidRDefault="003557A9" w:rsidP="003557A9">
      <w:pPr>
        <w:rPr>
          <w:sz w:val="32"/>
          <w:szCs w:val="32"/>
          <w:lang w:val="it-IT"/>
        </w:rPr>
      </w:pPr>
      <w:r>
        <w:rPr>
          <w:sz w:val="32"/>
          <w:szCs w:val="32"/>
          <w:lang w:val="it-IT"/>
        </w:rPr>
        <w:t xml:space="preserve">4) La percezione del rischio (pericolo) nella tendenza del corpo ad ammalarsi </w:t>
      </w:r>
    </w:p>
    <w:p w:rsidR="003557A9" w:rsidRDefault="003557A9" w:rsidP="003557A9">
      <w:pPr>
        <w:rPr>
          <w:sz w:val="32"/>
          <w:szCs w:val="32"/>
          <w:lang w:val="it-IT"/>
        </w:rPr>
      </w:pPr>
      <w:r>
        <w:rPr>
          <w:sz w:val="32"/>
          <w:szCs w:val="32"/>
          <w:lang w:val="it-IT"/>
        </w:rPr>
        <w:t>5) La percezione dell’abbandonare pensieri non salutari</w:t>
      </w:r>
    </w:p>
    <w:p w:rsidR="003557A9" w:rsidRPr="003557A9" w:rsidRDefault="003557A9" w:rsidP="003557A9">
      <w:pPr>
        <w:rPr>
          <w:sz w:val="32"/>
          <w:szCs w:val="32"/>
          <w:lang w:val="it-IT"/>
        </w:rPr>
      </w:pPr>
      <w:r>
        <w:rPr>
          <w:sz w:val="32"/>
          <w:szCs w:val="32"/>
          <w:lang w:val="it-IT"/>
        </w:rPr>
        <w:t xml:space="preserve">6) La percezione dello sbiadire della brama (viraga) come introduzione al </w:t>
      </w:r>
      <w:r w:rsidRPr="003557A9">
        <w:rPr>
          <w:sz w:val="32"/>
          <w:szCs w:val="32"/>
          <w:lang w:val="it-IT"/>
        </w:rPr>
        <w:t>Nirv</w:t>
      </w:r>
      <w:r w:rsidRPr="003557A9">
        <w:rPr>
          <w:rFonts w:hint="eastAsia"/>
          <w:sz w:val="32"/>
          <w:szCs w:val="32"/>
          <w:lang w:val="it-IT"/>
        </w:rPr>
        <w:t>āṇ</w:t>
      </w:r>
      <w:r>
        <w:rPr>
          <w:sz w:val="32"/>
          <w:szCs w:val="32"/>
          <w:lang w:val="it-IT"/>
        </w:rPr>
        <w:t>a</w:t>
      </w:r>
    </w:p>
    <w:p w:rsidR="003557A9" w:rsidRPr="003557A9" w:rsidRDefault="003557A9" w:rsidP="003557A9">
      <w:pPr>
        <w:rPr>
          <w:sz w:val="32"/>
          <w:szCs w:val="32"/>
          <w:lang w:val="it-IT"/>
        </w:rPr>
      </w:pPr>
      <w:r>
        <w:rPr>
          <w:sz w:val="32"/>
          <w:szCs w:val="32"/>
          <w:lang w:val="it-IT"/>
        </w:rPr>
        <w:t xml:space="preserve">7) La percezione della cessazione (nirodha) come introduzione al </w:t>
      </w:r>
      <w:r w:rsidRPr="003557A9">
        <w:rPr>
          <w:sz w:val="32"/>
          <w:szCs w:val="32"/>
          <w:lang w:val="it-IT"/>
        </w:rPr>
        <w:t>Nirv</w:t>
      </w:r>
      <w:r w:rsidRPr="003557A9">
        <w:rPr>
          <w:rFonts w:hint="eastAsia"/>
          <w:sz w:val="32"/>
          <w:szCs w:val="32"/>
          <w:lang w:val="it-IT"/>
        </w:rPr>
        <w:t>āṇ</w:t>
      </w:r>
      <w:r w:rsidRPr="003557A9">
        <w:rPr>
          <w:sz w:val="32"/>
          <w:szCs w:val="32"/>
          <w:lang w:val="it-IT"/>
        </w:rPr>
        <w:t>a</w:t>
      </w:r>
    </w:p>
    <w:p w:rsidR="003557A9" w:rsidRPr="003557A9" w:rsidRDefault="003557A9" w:rsidP="003557A9">
      <w:pPr>
        <w:rPr>
          <w:sz w:val="32"/>
          <w:szCs w:val="32"/>
          <w:lang w:val="it-IT"/>
        </w:rPr>
      </w:pPr>
      <w:r>
        <w:rPr>
          <w:sz w:val="32"/>
          <w:szCs w:val="32"/>
          <w:lang w:val="it-IT"/>
        </w:rPr>
        <w:t xml:space="preserve">8) La percezione del non trovare diletto nell’intero mondo come introduzione al </w:t>
      </w:r>
      <w:r w:rsidRPr="003557A9">
        <w:rPr>
          <w:sz w:val="32"/>
          <w:szCs w:val="32"/>
          <w:lang w:val="it-IT"/>
        </w:rPr>
        <w:t>Nirv</w:t>
      </w:r>
      <w:r w:rsidRPr="003557A9">
        <w:rPr>
          <w:rFonts w:hint="eastAsia"/>
          <w:sz w:val="32"/>
          <w:szCs w:val="32"/>
          <w:lang w:val="it-IT"/>
        </w:rPr>
        <w:t>āṇ</w:t>
      </w:r>
      <w:r w:rsidRPr="003557A9">
        <w:rPr>
          <w:sz w:val="32"/>
          <w:szCs w:val="32"/>
          <w:lang w:val="it-IT"/>
        </w:rPr>
        <w:t>a</w:t>
      </w:r>
    </w:p>
    <w:p w:rsidR="003557A9" w:rsidRPr="003557A9" w:rsidRDefault="003557A9" w:rsidP="003557A9">
      <w:pPr>
        <w:rPr>
          <w:sz w:val="32"/>
          <w:szCs w:val="32"/>
          <w:lang w:val="it-IT"/>
        </w:rPr>
      </w:pPr>
      <w:r>
        <w:rPr>
          <w:sz w:val="32"/>
          <w:szCs w:val="32"/>
          <w:lang w:val="it-IT"/>
        </w:rPr>
        <w:t xml:space="preserve">9) La percezione dell’impermanenza in tutte le cose condizionate/costruite come introduzione al </w:t>
      </w:r>
      <w:r w:rsidRPr="003557A9">
        <w:rPr>
          <w:sz w:val="32"/>
          <w:szCs w:val="32"/>
          <w:lang w:val="it-IT"/>
        </w:rPr>
        <w:t>Nirv</w:t>
      </w:r>
      <w:r w:rsidRPr="003557A9">
        <w:rPr>
          <w:rFonts w:hint="eastAsia"/>
          <w:sz w:val="32"/>
          <w:szCs w:val="32"/>
          <w:lang w:val="it-IT"/>
        </w:rPr>
        <w:t>āṇ</w:t>
      </w:r>
      <w:r w:rsidRPr="003557A9">
        <w:rPr>
          <w:sz w:val="32"/>
          <w:szCs w:val="32"/>
          <w:lang w:val="it-IT"/>
        </w:rPr>
        <w:t>a</w:t>
      </w:r>
    </w:p>
    <w:p w:rsidR="003D54E7" w:rsidRDefault="003557A9" w:rsidP="003D54E7">
      <w:pPr>
        <w:rPr>
          <w:sz w:val="32"/>
          <w:szCs w:val="32"/>
          <w:lang w:val="it-IT"/>
        </w:rPr>
      </w:pPr>
      <w:r>
        <w:rPr>
          <w:sz w:val="32"/>
          <w:szCs w:val="32"/>
          <w:lang w:val="it-IT"/>
        </w:rPr>
        <w:t xml:space="preserve">10) Consapevolezza inspirando ed espirando in 16 passi. </w:t>
      </w:r>
    </w:p>
    <w:sectPr w:rsidR="003D54E7" w:rsidSect="0097069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GrammaticalErrors/>
  <w:defaultTabStop w:val="708"/>
  <w:hyphenationZone w:val="283"/>
  <w:characterSpacingControl w:val="doNotCompress"/>
  <w:compat/>
  <w:rsids>
    <w:rsidRoot w:val="003D54E7"/>
    <w:rsid w:val="000A754E"/>
    <w:rsid w:val="000C0FC8"/>
    <w:rsid w:val="000E6050"/>
    <w:rsid w:val="00175A80"/>
    <w:rsid w:val="001B054F"/>
    <w:rsid w:val="00230D52"/>
    <w:rsid w:val="0035539C"/>
    <w:rsid w:val="003557A9"/>
    <w:rsid w:val="003D54E7"/>
    <w:rsid w:val="004167AB"/>
    <w:rsid w:val="005955BA"/>
    <w:rsid w:val="005B7410"/>
    <w:rsid w:val="007E284A"/>
    <w:rsid w:val="0097069D"/>
    <w:rsid w:val="00A72A82"/>
    <w:rsid w:val="00A939D1"/>
    <w:rsid w:val="00AF1900"/>
    <w:rsid w:val="00BE7C99"/>
    <w:rsid w:val="00C24381"/>
    <w:rsid w:val="00C619FF"/>
    <w:rsid w:val="00CB73A4"/>
    <w:rsid w:val="00D13CD5"/>
    <w:rsid w:val="00D60928"/>
    <w:rsid w:val="00D94290"/>
    <w:rsid w:val="00DE131E"/>
    <w:rsid w:val="00E23CC7"/>
    <w:rsid w:val="00E57D54"/>
    <w:rsid w:val="00F200D4"/>
    <w:rsid w:val="00F840B9"/>
    <w:rsid w:val="00F950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A754E"/>
  </w:style>
  <w:style w:type="paragraph" w:styleId="Titolo1">
    <w:name w:val="heading 1"/>
    <w:basedOn w:val="Normale"/>
    <w:next w:val="Normale"/>
    <w:link w:val="Titolo1Carattere"/>
    <w:uiPriority w:val="9"/>
    <w:qFormat/>
    <w:rsid w:val="000A754E"/>
    <w:pPr>
      <w:spacing w:before="48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0A754E"/>
    <w:pPr>
      <w:spacing w:before="20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0A754E"/>
    <w:pPr>
      <w:spacing w:before="20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0A754E"/>
    <w:pPr>
      <w:spacing w:before="20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0A754E"/>
    <w:pPr>
      <w:spacing w:before="20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0A754E"/>
    <w:pPr>
      <w:spacing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0A754E"/>
    <w:pPr>
      <w:outlineLvl w:val="6"/>
    </w:pPr>
    <w:rPr>
      <w:rFonts w:asciiTheme="majorHAnsi" w:eastAsiaTheme="majorEastAsia" w:hAnsiTheme="majorHAnsi" w:cstheme="majorBidi"/>
      <w:i/>
      <w:iCs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0A754E"/>
    <w:pPr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0A754E"/>
    <w:pPr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0A754E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0A754E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itolo3Carattere">
    <w:name w:val="Titolo 3 Carattere"/>
    <w:basedOn w:val="Carpredefinitoparagrafo"/>
    <w:link w:val="Titolo3"/>
    <w:uiPriority w:val="9"/>
    <w:rsid w:val="000A754E"/>
    <w:rPr>
      <w:rFonts w:asciiTheme="majorHAnsi" w:eastAsiaTheme="majorEastAsia" w:hAnsiTheme="majorHAnsi" w:cstheme="majorBidi"/>
      <w:b/>
      <w:bCs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0A754E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0A754E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0A754E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0A754E"/>
    <w:rPr>
      <w:rFonts w:asciiTheme="majorHAnsi" w:eastAsiaTheme="majorEastAsia" w:hAnsiTheme="majorHAnsi" w:cstheme="majorBidi"/>
      <w:i/>
      <w:iCs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0A754E"/>
    <w:rPr>
      <w:rFonts w:asciiTheme="majorHAnsi" w:eastAsiaTheme="majorEastAsia" w:hAnsiTheme="majorHAnsi" w:cstheme="majorBidi"/>
      <w:sz w:val="20"/>
      <w:szCs w:val="20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0A754E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Titolo">
    <w:name w:val="Title"/>
    <w:basedOn w:val="Normale"/>
    <w:next w:val="Normale"/>
    <w:link w:val="TitoloCarattere"/>
    <w:uiPriority w:val="10"/>
    <w:qFormat/>
    <w:rsid w:val="000A754E"/>
    <w:pPr>
      <w:pBdr>
        <w:bottom w:val="single" w:sz="4" w:space="1" w:color="auto"/>
      </w:pBdr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TitoloCarattere">
    <w:name w:val="Titolo Carattere"/>
    <w:basedOn w:val="Carpredefinitoparagrafo"/>
    <w:link w:val="Titolo"/>
    <w:uiPriority w:val="10"/>
    <w:rsid w:val="000A754E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0A754E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0A754E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Enfasigrassetto">
    <w:name w:val="Strong"/>
    <w:uiPriority w:val="22"/>
    <w:qFormat/>
    <w:rsid w:val="000A754E"/>
    <w:rPr>
      <w:b/>
      <w:bCs/>
    </w:rPr>
  </w:style>
  <w:style w:type="character" w:styleId="Enfasicorsivo">
    <w:name w:val="Emphasis"/>
    <w:uiPriority w:val="20"/>
    <w:qFormat/>
    <w:rsid w:val="000A754E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Nessunaspaziatura">
    <w:name w:val="No Spacing"/>
    <w:basedOn w:val="Normale"/>
    <w:uiPriority w:val="1"/>
    <w:qFormat/>
    <w:rsid w:val="000A754E"/>
  </w:style>
  <w:style w:type="paragraph" w:styleId="Paragrafoelenco">
    <w:name w:val="List Paragraph"/>
    <w:basedOn w:val="Normale"/>
    <w:uiPriority w:val="34"/>
    <w:qFormat/>
    <w:rsid w:val="000A754E"/>
    <w:pPr>
      <w:ind w:left="720"/>
      <w:contextualSpacing/>
    </w:pPr>
  </w:style>
  <w:style w:type="paragraph" w:styleId="Citazione">
    <w:name w:val="Quote"/>
    <w:basedOn w:val="Normale"/>
    <w:next w:val="Normale"/>
    <w:link w:val="CitazioneCarattere"/>
    <w:uiPriority w:val="29"/>
    <w:qFormat/>
    <w:rsid w:val="000A754E"/>
    <w:pPr>
      <w:spacing w:before="200"/>
      <w:ind w:left="360" w:right="360"/>
    </w:pPr>
    <w:rPr>
      <w:i/>
      <w:iCs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0A754E"/>
    <w:rPr>
      <w:i/>
      <w:iCs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0A754E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0A754E"/>
    <w:rPr>
      <w:b/>
      <w:bCs/>
      <w:i/>
      <w:iCs/>
    </w:rPr>
  </w:style>
  <w:style w:type="character" w:styleId="Enfasidelicata">
    <w:name w:val="Subtle Emphasis"/>
    <w:uiPriority w:val="19"/>
    <w:qFormat/>
    <w:rsid w:val="000A754E"/>
    <w:rPr>
      <w:i/>
      <w:iCs/>
    </w:rPr>
  </w:style>
  <w:style w:type="character" w:styleId="Enfasiintensa">
    <w:name w:val="Intense Emphasis"/>
    <w:uiPriority w:val="21"/>
    <w:qFormat/>
    <w:rsid w:val="000A754E"/>
    <w:rPr>
      <w:b/>
      <w:bCs/>
    </w:rPr>
  </w:style>
  <w:style w:type="character" w:styleId="Riferimentodelicato">
    <w:name w:val="Subtle Reference"/>
    <w:uiPriority w:val="31"/>
    <w:qFormat/>
    <w:rsid w:val="000A754E"/>
    <w:rPr>
      <w:smallCaps/>
    </w:rPr>
  </w:style>
  <w:style w:type="character" w:styleId="Riferimentointenso">
    <w:name w:val="Intense Reference"/>
    <w:uiPriority w:val="32"/>
    <w:qFormat/>
    <w:rsid w:val="000A754E"/>
    <w:rPr>
      <w:smallCaps/>
      <w:spacing w:val="5"/>
      <w:u w:val="single"/>
    </w:rPr>
  </w:style>
  <w:style w:type="character" w:styleId="Titolodellibro">
    <w:name w:val="Book Title"/>
    <w:uiPriority w:val="33"/>
    <w:qFormat/>
    <w:rsid w:val="000A754E"/>
    <w:rPr>
      <w:i/>
      <w:iCs/>
      <w:smallCaps/>
      <w:spacing w:val="5"/>
    </w:rPr>
  </w:style>
  <w:style w:type="paragraph" w:styleId="Titolosommario">
    <w:name w:val="TOC Heading"/>
    <w:basedOn w:val="Titolo1"/>
    <w:next w:val="Normale"/>
    <w:uiPriority w:val="39"/>
    <w:semiHidden/>
    <w:unhideWhenUsed/>
    <w:qFormat/>
    <w:rsid w:val="000A754E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384</Words>
  <Characters>2189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Letizia Baglioni</dc:creator>
  <cp:lastModifiedBy>Letizia Baglioni</cp:lastModifiedBy>
  <cp:revision>3</cp:revision>
  <dcterms:created xsi:type="dcterms:W3CDTF">2019-11-25T21:11:00Z</dcterms:created>
  <dcterms:modified xsi:type="dcterms:W3CDTF">2019-11-25T21:29:00Z</dcterms:modified>
</cp:coreProperties>
</file>